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2ECC6" w14:textId="58C79EFE" w:rsidR="00692052" w:rsidRDefault="00B25CD2">
      <w:pPr>
        <w:pStyle w:val="Heading1"/>
        <w:spacing w:line="240" w:lineRule="auto"/>
        <w:rPr>
          <w:rFonts w:ascii="TH Sarabun PSK" w:eastAsia="TH Sarabun PSK" w:hAnsi="TH Sarabun PSK" w:cs="TH Sarabun PSK"/>
          <w:smallCaps/>
          <w:color w:val="00B0F0"/>
          <w:sz w:val="72"/>
          <w:szCs w:val="72"/>
        </w:rPr>
      </w:pPr>
      <w:proofErr w:type="spellStart"/>
      <w:r>
        <w:rPr>
          <w:rFonts w:ascii="TH Sarabun PSK" w:eastAsia="TH Sarabun PSK" w:hAnsi="TH Sarabun PSK" w:cs="TH Sarabun PSK"/>
          <w:b/>
          <w:smallCaps/>
          <w:color w:val="00B0F0"/>
          <w:sz w:val="72"/>
          <w:szCs w:val="72"/>
        </w:rPr>
        <w:t>แบบเอกสาร</w:t>
      </w:r>
      <w:proofErr w:type="spellEnd"/>
      <w:r>
        <w:rPr>
          <w:rFonts w:ascii="TH Sarabun PSK" w:eastAsia="TH Sarabun PSK" w:hAnsi="TH Sarabun PSK" w:cs="TH Sarabun PSK"/>
          <w:b/>
          <w:smallCaps/>
          <w:color w:val="00B0F0"/>
          <w:sz w:val="72"/>
          <w:szCs w:val="72"/>
        </w:rPr>
        <w:t xml:space="preserve"> 1-B | </w:t>
      </w:r>
      <w:proofErr w:type="spellStart"/>
      <w:r>
        <w:rPr>
          <w:rFonts w:ascii="TH Sarabun PSK" w:eastAsia="TH Sarabun PSK" w:hAnsi="TH Sarabun PSK" w:cs="TH Sarabun PSK"/>
          <w:b/>
          <w:smallCaps/>
          <w:color w:val="00B0F0"/>
          <w:sz w:val="72"/>
          <w:szCs w:val="72"/>
        </w:rPr>
        <w:t>แบบประเมินโครงร่าง</w:t>
      </w:r>
      <w:bookmarkStart w:id="0" w:name="_GoBack"/>
      <w:bookmarkEnd w:id="0"/>
      <w:r>
        <w:rPr>
          <w:rFonts w:ascii="TH Sarabun PSK" w:eastAsia="TH Sarabun PSK" w:hAnsi="TH Sarabun PSK" w:cs="TH Sarabun PSK"/>
          <w:b/>
          <w:smallCaps/>
          <w:color w:val="00B0F0"/>
          <w:sz w:val="72"/>
          <w:szCs w:val="72"/>
        </w:rPr>
        <w:t>สุขภาวะของเมืองเบื้องต้น</w:t>
      </w:r>
      <w:proofErr w:type="spellEnd"/>
      <w:r>
        <w:rPr>
          <w:rFonts w:ascii="TH Sarabun PSK" w:eastAsia="TH Sarabun PSK" w:hAnsi="TH Sarabun PSK" w:cs="TH Sarabun PSK"/>
          <w:b/>
          <w:smallCaps/>
          <w:color w:val="00B0F0"/>
          <w:sz w:val="72"/>
          <w:szCs w:val="72"/>
        </w:rPr>
        <w:br/>
      </w:r>
      <w:proofErr w:type="spellStart"/>
      <w:r w:rsidRPr="00B25CD2">
        <w:rPr>
          <w:rFonts w:ascii="Browallia New" w:eastAsia="TH Sarabun PSK" w:hAnsi="Browallia New" w:cs="Browallia New"/>
          <w:b/>
          <w:smallCaps/>
          <w:color w:val="00B0F0"/>
          <w:sz w:val="72"/>
          <w:szCs w:val="72"/>
        </w:rPr>
        <w:t>สำหรับเค</w:t>
      </w:r>
      <w:proofErr w:type="spellEnd"/>
      <w:r w:rsidRPr="00B25CD2">
        <w:rPr>
          <w:rFonts w:ascii="Browallia New" w:eastAsia="TH Sarabun PSK" w:hAnsi="Browallia New" w:cs="Browallia New" w:hint="cs"/>
          <w:bCs/>
          <w:smallCaps/>
          <w:color w:val="00B0F0"/>
          <w:sz w:val="72"/>
          <w:szCs w:val="72"/>
          <w:cs/>
        </w:rPr>
        <w:t>รื</w:t>
      </w:r>
      <w:proofErr w:type="spellStart"/>
      <w:r w:rsidRPr="00B25CD2">
        <w:rPr>
          <w:rFonts w:ascii="Browallia New" w:eastAsia="TH Sarabun PSK" w:hAnsi="Browallia New" w:cs="Browallia New"/>
          <w:b/>
          <w:smallCaps/>
          <w:color w:val="00B0F0"/>
          <w:sz w:val="72"/>
          <w:szCs w:val="72"/>
        </w:rPr>
        <w:t>อข่ายเมืองสุขภาวะ</w:t>
      </w:r>
      <w:proofErr w:type="spellEnd"/>
      <w:r>
        <w:rPr>
          <w:rFonts w:ascii="TH Sarabun PSK" w:eastAsia="TH Sarabun PSK" w:hAnsi="TH Sarabun PSK" w:cs="TH Sarabun PSK"/>
          <w:b/>
          <w:smallCaps/>
          <w:color w:val="00B0F0"/>
          <w:sz w:val="72"/>
          <w:szCs w:val="72"/>
        </w:rPr>
        <w:br/>
      </w:r>
      <w:proofErr w:type="spellStart"/>
      <w:r>
        <w:rPr>
          <w:rFonts w:ascii="TH Sarabun PSK" w:eastAsia="TH Sarabun PSK" w:hAnsi="TH Sarabun PSK" w:cs="TH Sarabun PSK"/>
          <w:b/>
          <w:smallCaps/>
          <w:color w:val="00B0F0"/>
          <w:sz w:val="72"/>
          <w:szCs w:val="72"/>
        </w:rPr>
        <w:t>ประจำภูมิภาคเอเชียใต้และเอเชียตะวันออก</w:t>
      </w:r>
      <w:proofErr w:type="spellEnd"/>
    </w:p>
    <w:p w14:paraId="621220B9" w14:textId="77777777" w:rsidR="00692052" w:rsidRDefault="00B25CD2">
      <w:pPr>
        <w:rPr>
          <w:rFonts w:ascii="TH Sarabun PSK" w:eastAsia="TH Sarabun PSK" w:hAnsi="TH Sarabun PSK" w:cs="TH Sarabun PSK"/>
          <w:sz w:val="32"/>
          <w:szCs w:val="32"/>
        </w:rPr>
      </w:pPr>
      <w:proofErr w:type="spellStart"/>
      <w:r>
        <w:rPr>
          <w:rFonts w:ascii="TH Sarabun PSK" w:eastAsia="TH Sarabun PSK" w:hAnsi="TH Sarabun PSK" w:cs="TH Sarabun PSK"/>
          <w:sz w:val="32"/>
          <w:szCs w:val="32"/>
        </w:rPr>
        <w:t>เอกสารฉบับนี้จะช่วยให้เมืองเข้าใจสถานการณ์สุขภาวะของเมืองตัวเอง</w:t>
      </w:r>
      <w:proofErr w:type="spellEnd"/>
      <w:r>
        <w:rPr>
          <w:rFonts w:ascii="TH Sarabun PSK" w:eastAsia="TH Sarabun PSK" w:hAnsi="TH Sarabun PSK" w:cs="TH Sarabun PSK"/>
          <w:sz w:val="32"/>
          <w:szCs w:val="32"/>
        </w:rPr>
        <w:t xml:space="preserve"> </w:t>
      </w:r>
      <w:r>
        <w:rPr>
          <w:rFonts w:ascii="TH Sarabun PSK" w:eastAsia="TH Sarabun PSK" w:hAnsi="TH Sarabun PSK" w:cs="TH Sarabun PSK"/>
          <w:sz w:val="32"/>
          <w:szCs w:val="32"/>
        </w:rPr>
        <w:br/>
      </w:r>
      <w:r>
        <w:rPr>
          <w:rFonts w:ascii="TH Sarabun PSK" w:eastAsia="TH Sarabun PSK" w:hAnsi="TH Sarabun PSK" w:cs="TH Sarabun PSK"/>
          <w:sz w:val="32"/>
          <w:szCs w:val="32"/>
        </w:rPr>
        <w:t>และช่วยประเมินเบื้องต้นว่าเมืองจะผ่านการพิจารณาให้เป็นสมาชิกเมืองสุขภาวะของเครือข่ายหรือไม่</w:t>
      </w:r>
    </w:p>
    <w:p w14:paraId="6C7E4D45" w14:textId="77777777" w:rsidR="00692052" w:rsidRDefault="00B25CD2">
      <w:pPr>
        <w:rPr>
          <w:rFonts w:ascii="TH Sarabun PSK" w:eastAsia="TH Sarabun PSK" w:hAnsi="TH Sarabun PSK" w:cs="TH Sarabun PSK"/>
          <w:sz w:val="32"/>
          <w:szCs w:val="32"/>
        </w:rPr>
      </w:pPr>
      <w:proofErr w:type="spellStart"/>
      <w:r>
        <w:rPr>
          <w:rFonts w:ascii="TH Sarabun PSK" w:eastAsia="TH Sarabun PSK" w:hAnsi="TH Sarabun PSK" w:cs="TH Sarabun PSK"/>
          <w:sz w:val="32"/>
          <w:szCs w:val="32"/>
        </w:rPr>
        <w:t>กรุณาระบุระดับของสุขภาวะเมืองในสถานการณ์ต่าง</w:t>
      </w:r>
      <w:proofErr w:type="spellEnd"/>
      <w:r>
        <w:rPr>
          <w:rFonts w:ascii="TH Sarabun PSK" w:eastAsia="TH Sarabun PSK" w:hAnsi="TH Sarabun PSK" w:cs="TH Sarabun PSK"/>
          <w:sz w:val="32"/>
          <w:szCs w:val="32"/>
        </w:rPr>
        <w:t xml:space="preserve"> </w:t>
      </w:r>
      <w:r>
        <w:rPr>
          <w:rFonts w:ascii="TH Sarabun PSK" w:eastAsia="TH Sarabun PSK" w:hAnsi="TH Sarabun PSK" w:cs="TH Sarabun PSK"/>
          <w:sz w:val="32"/>
          <w:szCs w:val="32"/>
        </w:rPr>
        <w:t xml:space="preserve">ๆ </w:t>
      </w:r>
      <w:proofErr w:type="spellStart"/>
      <w:r>
        <w:rPr>
          <w:rFonts w:ascii="TH Sarabun PSK" w:eastAsia="TH Sarabun PSK" w:hAnsi="TH Sarabun PSK" w:cs="TH Sarabun PSK"/>
          <w:sz w:val="32"/>
          <w:szCs w:val="32"/>
        </w:rPr>
        <w:t>ของเมืองของคุณ</w:t>
      </w:r>
      <w:proofErr w:type="spellEnd"/>
      <w:r>
        <w:rPr>
          <w:rFonts w:ascii="TH Sarabun PSK" w:eastAsia="TH Sarabun PSK" w:hAnsi="TH Sarabun PSK" w:cs="TH Sarabun PSK"/>
          <w:sz w:val="32"/>
          <w:szCs w:val="32"/>
        </w:rPr>
        <w:t> </w:t>
      </w:r>
    </w:p>
    <w:tbl>
      <w:tblPr>
        <w:tblStyle w:val="a1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1736"/>
        <w:gridCol w:w="1735"/>
        <w:gridCol w:w="1735"/>
        <w:gridCol w:w="1735"/>
        <w:gridCol w:w="1735"/>
        <w:gridCol w:w="1735"/>
      </w:tblGrid>
      <w:tr w:rsidR="00692052" w14:paraId="31BF41CE" w14:textId="77777777">
        <w:trPr>
          <w:trHeight w:val="20"/>
          <w:tblHeader/>
        </w:trPr>
        <w:tc>
          <w:tcPr>
            <w:tcW w:w="2539" w:type="dxa"/>
            <w:vMerge w:val="restart"/>
            <w:shd w:val="clear" w:color="auto" w:fill="000000"/>
            <w:vAlign w:val="center"/>
          </w:tcPr>
          <w:p w14:paraId="446737C4" w14:textId="77777777" w:rsidR="00692052" w:rsidRDefault="00B25CD2">
            <w:pPr>
              <w:jc w:val="center"/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color w:val="FFFFFF"/>
                <w:sz w:val="32"/>
                <w:szCs w:val="32"/>
              </w:rPr>
              <w:t>ตัวชี้วัด</w:t>
            </w:r>
            <w:proofErr w:type="spellEnd"/>
          </w:p>
        </w:tc>
        <w:tc>
          <w:tcPr>
            <w:tcW w:w="10411" w:type="dxa"/>
            <w:gridSpan w:val="6"/>
            <w:shd w:val="clear" w:color="auto" w:fill="000000"/>
            <w:vAlign w:val="center"/>
          </w:tcPr>
          <w:p w14:paraId="46D34307" w14:textId="77777777" w:rsidR="00692052" w:rsidRDefault="00B25CD2">
            <w:pPr>
              <w:jc w:val="center"/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color w:val="FFFFFF"/>
                <w:sz w:val="32"/>
                <w:szCs w:val="32"/>
              </w:rPr>
              <w:t>เกณฑ์กำหนด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color w:val="FFFFFF"/>
                <w:sz w:val="32"/>
                <w:szCs w:val="32"/>
              </w:rPr>
              <w:t xml:space="preserve"> (0-5)</w:t>
            </w:r>
          </w:p>
        </w:tc>
      </w:tr>
      <w:tr w:rsidR="00692052" w14:paraId="65960521" w14:textId="77777777">
        <w:trPr>
          <w:trHeight w:val="20"/>
          <w:tblHeader/>
        </w:trPr>
        <w:tc>
          <w:tcPr>
            <w:tcW w:w="2539" w:type="dxa"/>
            <w:vMerge/>
            <w:shd w:val="clear" w:color="auto" w:fill="000000"/>
            <w:vAlign w:val="center"/>
          </w:tcPr>
          <w:p w14:paraId="114C42A5" w14:textId="77777777" w:rsidR="00692052" w:rsidRDefault="00692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PSK" w:eastAsia="TH Sarabun PSK" w:hAnsi="TH Sarabun PSK" w:cs="TH Sarabun PSK"/>
                <w:sz w:val="32"/>
                <w:szCs w:val="32"/>
              </w:rPr>
            </w:pPr>
          </w:p>
        </w:tc>
        <w:tc>
          <w:tcPr>
            <w:tcW w:w="1736" w:type="dxa"/>
            <w:shd w:val="clear" w:color="auto" w:fill="000000"/>
            <w:vAlign w:val="center"/>
          </w:tcPr>
          <w:p w14:paraId="35A5805F" w14:textId="77777777" w:rsidR="00692052" w:rsidRDefault="00B25CD2">
            <w:pPr>
              <w:jc w:val="center"/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color w:val="FFFFFF"/>
                <w:sz w:val="32"/>
                <w:szCs w:val="32"/>
              </w:rPr>
              <w:t>ระดับ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color w:val="FFFFFF"/>
                <w:sz w:val="32"/>
                <w:szCs w:val="32"/>
              </w:rPr>
              <w:t xml:space="preserve"> 0</w:t>
            </w:r>
          </w:p>
        </w:tc>
        <w:tc>
          <w:tcPr>
            <w:tcW w:w="1735" w:type="dxa"/>
            <w:shd w:val="clear" w:color="auto" w:fill="000000"/>
            <w:vAlign w:val="center"/>
          </w:tcPr>
          <w:p w14:paraId="293A7A7B" w14:textId="77777777" w:rsidR="00692052" w:rsidRDefault="00B25CD2">
            <w:pPr>
              <w:jc w:val="center"/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color w:val="FFFFFF"/>
                <w:sz w:val="32"/>
                <w:szCs w:val="32"/>
              </w:rPr>
              <w:t>ระดับ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color w:val="FFFFFF"/>
                <w:sz w:val="32"/>
                <w:szCs w:val="32"/>
              </w:rPr>
              <w:t xml:space="preserve"> 1</w:t>
            </w:r>
          </w:p>
        </w:tc>
        <w:tc>
          <w:tcPr>
            <w:tcW w:w="1735" w:type="dxa"/>
            <w:shd w:val="clear" w:color="auto" w:fill="000000"/>
            <w:vAlign w:val="center"/>
          </w:tcPr>
          <w:p w14:paraId="43797C7A" w14:textId="77777777" w:rsidR="00692052" w:rsidRDefault="00B25CD2">
            <w:pPr>
              <w:jc w:val="center"/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color w:val="FFFFFF"/>
                <w:sz w:val="32"/>
                <w:szCs w:val="32"/>
              </w:rPr>
              <w:t>ระดับ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color w:val="FFFFFF"/>
                <w:sz w:val="32"/>
                <w:szCs w:val="32"/>
              </w:rPr>
              <w:t xml:space="preserve"> 2</w:t>
            </w:r>
          </w:p>
        </w:tc>
        <w:tc>
          <w:tcPr>
            <w:tcW w:w="1735" w:type="dxa"/>
            <w:shd w:val="clear" w:color="auto" w:fill="000000"/>
            <w:vAlign w:val="center"/>
          </w:tcPr>
          <w:p w14:paraId="26A92C37" w14:textId="77777777" w:rsidR="00692052" w:rsidRDefault="00B25CD2">
            <w:pPr>
              <w:jc w:val="center"/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color w:val="FFFFFF"/>
                <w:sz w:val="32"/>
                <w:szCs w:val="32"/>
              </w:rPr>
              <w:t>ระดับ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color w:val="FFFFFF"/>
                <w:sz w:val="32"/>
                <w:szCs w:val="32"/>
              </w:rPr>
              <w:t xml:space="preserve"> 3</w:t>
            </w:r>
          </w:p>
        </w:tc>
        <w:tc>
          <w:tcPr>
            <w:tcW w:w="1735" w:type="dxa"/>
            <w:shd w:val="clear" w:color="auto" w:fill="000000"/>
            <w:vAlign w:val="center"/>
          </w:tcPr>
          <w:p w14:paraId="4311EFEE" w14:textId="77777777" w:rsidR="00692052" w:rsidRDefault="00B25CD2">
            <w:pPr>
              <w:jc w:val="center"/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color w:val="FFFFFF"/>
                <w:sz w:val="32"/>
                <w:szCs w:val="32"/>
              </w:rPr>
              <w:t>ระดับ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color w:val="FFFFFF"/>
                <w:sz w:val="32"/>
                <w:szCs w:val="32"/>
              </w:rPr>
              <w:t xml:space="preserve"> 4</w:t>
            </w:r>
          </w:p>
        </w:tc>
        <w:tc>
          <w:tcPr>
            <w:tcW w:w="1735" w:type="dxa"/>
            <w:shd w:val="clear" w:color="auto" w:fill="000000"/>
            <w:vAlign w:val="center"/>
          </w:tcPr>
          <w:p w14:paraId="222E4EE9" w14:textId="77777777" w:rsidR="00692052" w:rsidRDefault="00B25CD2">
            <w:pPr>
              <w:jc w:val="center"/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color w:val="FFFFFF"/>
                <w:sz w:val="32"/>
                <w:szCs w:val="32"/>
              </w:rPr>
              <w:t>ระดับ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color w:val="FFFFFF"/>
                <w:sz w:val="32"/>
                <w:szCs w:val="32"/>
              </w:rPr>
              <w:t xml:space="preserve"> 5</w:t>
            </w:r>
          </w:p>
        </w:tc>
      </w:tr>
      <w:tr w:rsidR="00692052" w14:paraId="117A3808" w14:textId="77777777">
        <w:trPr>
          <w:trHeight w:val="20"/>
        </w:trPr>
        <w:tc>
          <w:tcPr>
            <w:tcW w:w="2539" w:type="dxa"/>
            <w:shd w:val="clear" w:color="auto" w:fill="BDD7EE"/>
          </w:tcPr>
          <w:p w14:paraId="474F9D94" w14:textId="77777777" w:rsidR="00692052" w:rsidRDefault="00B25CD2">
            <w:pP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อัตราอาชญากรรม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ต่อ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 xml:space="preserve"> 100 000 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ประชากร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)</w:t>
            </w:r>
          </w:p>
        </w:tc>
        <w:tc>
          <w:tcPr>
            <w:tcW w:w="1736" w:type="dxa"/>
          </w:tcPr>
          <w:p w14:paraId="545D0165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&gt; 100</w:t>
            </w:r>
          </w:p>
        </w:tc>
        <w:tc>
          <w:tcPr>
            <w:tcW w:w="1735" w:type="dxa"/>
          </w:tcPr>
          <w:p w14:paraId="0F0B563D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80-100</w:t>
            </w:r>
          </w:p>
        </w:tc>
        <w:tc>
          <w:tcPr>
            <w:tcW w:w="1735" w:type="dxa"/>
          </w:tcPr>
          <w:p w14:paraId="40F80DC5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60-80</w:t>
            </w:r>
          </w:p>
        </w:tc>
        <w:tc>
          <w:tcPr>
            <w:tcW w:w="1735" w:type="dxa"/>
          </w:tcPr>
          <w:p w14:paraId="07350D78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40-60</w:t>
            </w:r>
          </w:p>
        </w:tc>
        <w:tc>
          <w:tcPr>
            <w:tcW w:w="1735" w:type="dxa"/>
          </w:tcPr>
          <w:p w14:paraId="19527256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20-40</w:t>
            </w:r>
          </w:p>
        </w:tc>
        <w:tc>
          <w:tcPr>
            <w:tcW w:w="1735" w:type="dxa"/>
          </w:tcPr>
          <w:p w14:paraId="0AF91A7F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0-20</w:t>
            </w:r>
          </w:p>
        </w:tc>
      </w:tr>
      <w:tr w:rsidR="00692052" w14:paraId="1B63B210" w14:textId="77777777">
        <w:trPr>
          <w:trHeight w:val="20"/>
        </w:trPr>
        <w:tc>
          <w:tcPr>
            <w:tcW w:w="2539" w:type="dxa"/>
            <w:shd w:val="clear" w:color="auto" w:fill="BDD7EE"/>
          </w:tcPr>
          <w:p w14:paraId="18C43FBC" w14:textId="77777777" w:rsidR="00692052" w:rsidRDefault="00B25CD2">
            <w:pP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อัตราการเสียชีวิตจากอุบัติเหตุบนท้องถนน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ต่อ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 xml:space="preserve"> 100 000 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ประชากร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)</w:t>
            </w:r>
          </w:p>
        </w:tc>
        <w:tc>
          <w:tcPr>
            <w:tcW w:w="1736" w:type="dxa"/>
          </w:tcPr>
          <w:p w14:paraId="3BCDC4F2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&gt; 40</w:t>
            </w:r>
          </w:p>
        </w:tc>
        <w:tc>
          <w:tcPr>
            <w:tcW w:w="1735" w:type="dxa"/>
          </w:tcPr>
          <w:p w14:paraId="600953D9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30-40</w:t>
            </w:r>
          </w:p>
        </w:tc>
        <w:tc>
          <w:tcPr>
            <w:tcW w:w="1735" w:type="dxa"/>
          </w:tcPr>
          <w:p w14:paraId="60E2A72A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20-30</w:t>
            </w:r>
          </w:p>
        </w:tc>
        <w:tc>
          <w:tcPr>
            <w:tcW w:w="1735" w:type="dxa"/>
          </w:tcPr>
          <w:p w14:paraId="7233CF58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10-20</w:t>
            </w:r>
          </w:p>
        </w:tc>
        <w:tc>
          <w:tcPr>
            <w:tcW w:w="1735" w:type="dxa"/>
          </w:tcPr>
          <w:p w14:paraId="48A6620C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5-10</w:t>
            </w:r>
          </w:p>
        </w:tc>
        <w:tc>
          <w:tcPr>
            <w:tcW w:w="1735" w:type="dxa"/>
          </w:tcPr>
          <w:p w14:paraId="320C4299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0-5</w:t>
            </w:r>
          </w:p>
        </w:tc>
      </w:tr>
      <w:tr w:rsidR="00692052" w14:paraId="47D4ADEB" w14:textId="77777777">
        <w:trPr>
          <w:trHeight w:val="20"/>
        </w:trPr>
        <w:tc>
          <w:tcPr>
            <w:tcW w:w="2539" w:type="dxa"/>
            <w:shd w:val="clear" w:color="auto" w:fill="BDD7EE"/>
          </w:tcPr>
          <w:p w14:paraId="5AB2D86B" w14:textId="77777777" w:rsidR="00692052" w:rsidRDefault="00B25CD2">
            <w:pP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lastRenderedPageBreak/>
              <w:t>ระดับการออกกำลังกายของประชากรวัยผู้ใหญ่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โดยวัดจากเวลาเฉลี่ยที่ใช้ไปกับการออกกำลังกาย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ประชากรอายุ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 xml:space="preserve"> 18-64 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ปี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)</w:t>
            </w:r>
          </w:p>
        </w:tc>
        <w:tc>
          <w:tcPr>
            <w:tcW w:w="1736" w:type="dxa"/>
          </w:tcPr>
          <w:p w14:paraId="1A255B16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ไม่มี</w:t>
            </w:r>
            <w:proofErr w:type="spellEnd"/>
          </w:p>
          <w:p w14:paraId="26242925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หรือไม่มีการออกกำลังกายนอกเหนือการขยับร่างกายโดยทั่วไป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</w:p>
        </w:tc>
        <w:tc>
          <w:tcPr>
            <w:tcW w:w="1735" w:type="dxa"/>
          </w:tcPr>
          <w:p w14:paraId="544B353A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ต่ำมาก</w:t>
            </w:r>
            <w:proofErr w:type="spellEnd"/>
          </w:p>
          <w:p w14:paraId="6445C22B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มีการออกกำลังกายนอกเหนือการขยับร่างกายโดยทั่วไปแต่น้อยกว่า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50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นาทีต่อสัปดาห์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</w:p>
        </w:tc>
        <w:tc>
          <w:tcPr>
            <w:tcW w:w="1735" w:type="dxa"/>
          </w:tcPr>
          <w:p w14:paraId="6336CC20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ต</w:t>
            </w: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่ำ</w:t>
            </w:r>
            <w:proofErr w:type="spellEnd"/>
          </w:p>
          <w:p w14:paraId="4841E607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มีการออกกำลังกายระหว่าง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50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ถึง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100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นาทีต่อสัปดาห์</w:t>
            </w:r>
            <w:proofErr w:type="spellEnd"/>
          </w:p>
        </w:tc>
        <w:tc>
          <w:tcPr>
            <w:tcW w:w="1735" w:type="dxa"/>
          </w:tcPr>
          <w:p w14:paraId="232284CB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ปานกลางค่อนไปทางต่ำ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br/>
            </w: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มีการออกกำลังกาย100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ถึง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150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นาทีต่อสัปดาห์</w:t>
            </w:r>
            <w:proofErr w:type="spellEnd"/>
          </w:p>
        </w:tc>
        <w:tc>
          <w:tcPr>
            <w:tcW w:w="1735" w:type="dxa"/>
          </w:tcPr>
          <w:p w14:paraId="7E4D28F3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ปานกลาง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br/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มีการออกกำลังกาย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150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ถึง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300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นาทีต่อสัปดาห์</w:t>
            </w:r>
            <w:proofErr w:type="spellEnd"/>
          </w:p>
        </w:tc>
        <w:tc>
          <w:tcPr>
            <w:tcW w:w="1735" w:type="dxa"/>
          </w:tcPr>
          <w:p w14:paraId="7128DDDF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สูง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br/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มีการออกกำลังกายมากกว่า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300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นาทีต่อสัปดาห์</w:t>
            </w:r>
            <w:proofErr w:type="spellEnd"/>
          </w:p>
        </w:tc>
      </w:tr>
      <w:tr w:rsidR="00692052" w14:paraId="1DD832D0" w14:textId="77777777">
        <w:trPr>
          <w:trHeight w:val="20"/>
        </w:trPr>
        <w:tc>
          <w:tcPr>
            <w:tcW w:w="2539" w:type="dxa"/>
            <w:shd w:val="clear" w:color="auto" w:fill="BDD7EE"/>
          </w:tcPr>
          <w:p w14:paraId="4520FE97" w14:textId="77777777" w:rsidR="00692052" w:rsidRDefault="00B25CD2">
            <w:pP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ร้อยละของครัวเรือนที่ได้รับการจัดการกับขยะ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มีการเก็บขยะและนำไปกำจัด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)</w:t>
            </w:r>
          </w:p>
        </w:tc>
        <w:tc>
          <w:tcPr>
            <w:tcW w:w="1736" w:type="dxa"/>
          </w:tcPr>
          <w:p w14:paraId="1DD3C81D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น้อยกว่า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50</w:t>
            </w:r>
          </w:p>
        </w:tc>
        <w:tc>
          <w:tcPr>
            <w:tcW w:w="1735" w:type="dxa"/>
          </w:tcPr>
          <w:p w14:paraId="60B0D188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50 –60 </w:t>
            </w:r>
          </w:p>
        </w:tc>
        <w:tc>
          <w:tcPr>
            <w:tcW w:w="1735" w:type="dxa"/>
          </w:tcPr>
          <w:p w14:paraId="7A6335CE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60-70</w:t>
            </w:r>
          </w:p>
        </w:tc>
        <w:tc>
          <w:tcPr>
            <w:tcW w:w="1735" w:type="dxa"/>
          </w:tcPr>
          <w:p w14:paraId="4B141326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70–80</w:t>
            </w:r>
          </w:p>
        </w:tc>
        <w:tc>
          <w:tcPr>
            <w:tcW w:w="1735" w:type="dxa"/>
          </w:tcPr>
          <w:p w14:paraId="5C2F879F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80-90</w:t>
            </w:r>
          </w:p>
        </w:tc>
        <w:tc>
          <w:tcPr>
            <w:tcW w:w="1735" w:type="dxa"/>
          </w:tcPr>
          <w:p w14:paraId="2672D167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90-100</w:t>
            </w:r>
          </w:p>
        </w:tc>
      </w:tr>
      <w:tr w:rsidR="00692052" w14:paraId="1B0D4962" w14:textId="77777777">
        <w:trPr>
          <w:trHeight w:val="20"/>
        </w:trPr>
        <w:tc>
          <w:tcPr>
            <w:tcW w:w="2539" w:type="dxa"/>
            <w:shd w:val="clear" w:color="auto" w:fill="BDD7EE"/>
          </w:tcPr>
          <w:p w14:paraId="0A22199A" w14:textId="77777777" w:rsidR="00692052" w:rsidRDefault="00B25CD2">
            <w:pP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ความปลอดภัยในที่ทำงาน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 xml:space="preserve"> </w:t>
            </w:r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กำหนดโดยอุปกรณ์ด้านความปลอดภัยและมาตรการความปลอดภัยที่บังคับใช้ในที่ทำงาน</w:t>
            </w:r>
          </w:p>
        </w:tc>
        <w:tc>
          <w:tcPr>
            <w:tcW w:w="1736" w:type="dxa"/>
          </w:tcPr>
          <w:p w14:paraId="593CD9B9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ไม่มีมาตรการความปลอดภัยหรืออุปกรณ์ความปลอดภั</w:t>
            </w: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ย</w:t>
            </w:r>
            <w:proofErr w:type="spellEnd"/>
          </w:p>
        </w:tc>
        <w:tc>
          <w:tcPr>
            <w:tcW w:w="1735" w:type="dxa"/>
          </w:tcPr>
          <w:p w14:paraId="0E797191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มีมาตรการความปลอดภัยพื้นฐานและอุปกรณ์ความปลอดภัยส่วนหนึ่ง</w:t>
            </w:r>
            <w:proofErr w:type="spellEnd"/>
          </w:p>
        </w:tc>
        <w:tc>
          <w:tcPr>
            <w:tcW w:w="1735" w:type="dxa"/>
          </w:tcPr>
          <w:p w14:paraId="6406759B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มีมาตรการความปลอดภัยและมีจำนวนอุปกรณ์ความปลอดภัยเพียงพอต่ออุบัติเหตุที่อาจเกิดขึ้น</w:t>
            </w:r>
          </w:p>
        </w:tc>
        <w:tc>
          <w:tcPr>
            <w:tcW w:w="1735" w:type="dxa"/>
          </w:tcPr>
          <w:p w14:paraId="66DAA268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มีมาตรการความปลอดภัยและอุปกรณ์ความปลอดภัยที่ครบครัน</w:t>
            </w:r>
            <w:proofErr w:type="spellEnd"/>
          </w:p>
        </w:tc>
        <w:tc>
          <w:tcPr>
            <w:tcW w:w="1735" w:type="dxa"/>
          </w:tcPr>
          <w:p w14:paraId="6C956D95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มีอุปกรณ์ความปลอดภัยครบครันและมีการบังคบใช้มาตรการที่เข้มแข็ง</w:t>
            </w:r>
            <w:proofErr w:type="spellEnd"/>
          </w:p>
        </w:tc>
        <w:tc>
          <w:tcPr>
            <w:tcW w:w="1735" w:type="dxa"/>
          </w:tcPr>
          <w:p w14:paraId="3B99EC5C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มีมาตรฐานความปลอดภัยสูงอันมาจากความตื่นตัวเรื่องมาตรการความปลอดภัยของคนในองค์กร</w:t>
            </w:r>
          </w:p>
        </w:tc>
      </w:tr>
      <w:tr w:rsidR="00692052" w14:paraId="2B291899" w14:textId="77777777">
        <w:trPr>
          <w:trHeight w:val="20"/>
        </w:trPr>
        <w:tc>
          <w:tcPr>
            <w:tcW w:w="2539" w:type="dxa"/>
            <w:shd w:val="clear" w:color="auto" w:fill="BDD7EE"/>
          </w:tcPr>
          <w:p w14:paraId="67C504C6" w14:textId="77777777" w:rsidR="00692052" w:rsidRDefault="00B25CD2">
            <w:pP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อัตราการว่างงาน</w:t>
            </w:r>
            <w:proofErr w:type="spellEnd"/>
          </w:p>
        </w:tc>
        <w:tc>
          <w:tcPr>
            <w:tcW w:w="1736" w:type="dxa"/>
          </w:tcPr>
          <w:p w14:paraId="0C550769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&gt; 20%</w:t>
            </w:r>
          </w:p>
        </w:tc>
        <w:tc>
          <w:tcPr>
            <w:tcW w:w="1735" w:type="dxa"/>
          </w:tcPr>
          <w:p w14:paraId="3509F4B4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10-20%</w:t>
            </w:r>
          </w:p>
        </w:tc>
        <w:tc>
          <w:tcPr>
            <w:tcW w:w="1735" w:type="dxa"/>
          </w:tcPr>
          <w:p w14:paraId="59FD61A6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6-10%</w:t>
            </w:r>
          </w:p>
        </w:tc>
        <w:tc>
          <w:tcPr>
            <w:tcW w:w="1735" w:type="dxa"/>
          </w:tcPr>
          <w:p w14:paraId="68980959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4-6%</w:t>
            </w:r>
          </w:p>
        </w:tc>
        <w:tc>
          <w:tcPr>
            <w:tcW w:w="1735" w:type="dxa"/>
          </w:tcPr>
          <w:p w14:paraId="2BAB98B0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3-4%</w:t>
            </w:r>
          </w:p>
        </w:tc>
        <w:tc>
          <w:tcPr>
            <w:tcW w:w="1735" w:type="dxa"/>
          </w:tcPr>
          <w:p w14:paraId="710D6D5A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2-3%</w:t>
            </w:r>
          </w:p>
        </w:tc>
      </w:tr>
      <w:tr w:rsidR="00692052" w14:paraId="0BAB85E0" w14:textId="77777777">
        <w:trPr>
          <w:trHeight w:val="20"/>
        </w:trPr>
        <w:tc>
          <w:tcPr>
            <w:tcW w:w="2539" w:type="dxa"/>
            <w:shd w:val="clear" w:color="auto" w:fill="BDD7EE"/>
          </w:tcPr>
          <w:p w14:paraId="62A165A5" w14:textId="77777777" w:rsidR="00692052" w:rsidRDefault="00B25CD2">
            <w:pP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lastRenderedPageBreak/>
              <w:t>ร้อยละของประชากรที่ใช้บริการน้ำดื่มขั้นพื้นฐาน</w:t>
            </w:r>
            <w:proofErr w:type="spellEnd"/>
          </w:p>
        </w:tc>
        <w:tc>
          <w:tcPr>
            <w:tcW w:w="1736" w:type="dxa"/>
          </w:tcPr>
          <w:p w14:paraId="64C55064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น้อยกว่า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90</w:t>
            </w:r>
          </w:p>
        </w:tc>
        <w:tc>
          <w:tcPr>
            <w:tcW w:w="1735" w:type="dxa"/>
          </w:tcPr>
          <w:p w14:paraId="00AA0A49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90–92</w:t>
            </w:r>
          </w:p>
        </w:tc>
        <w:tc>
          <w:tcPr>
            <w:tcW w:w="1735" w:type="dxa"/>
          </w:tcPr>
          <w:p w14:paraId="165952F6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92-94</w:t>
            </w:r>
          </w:p>
        </w:tc>
        <w:tc>
          <w:tcPr>
            <w:tcW w:w="1735" w:type="dxa"/>
          </w:tcPr>
          <w:p w14:paraId="7BD062EF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94-96</w:t>
            </w:r>
          </w:p>
        </w:tc>
        <w:tc>
          <w:tcPr>
            <w:tcW w:w="1735" w:type="dxa"/>
          </w:tcPr>
          <w:p w14:paraId="04705FAE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96-98</w:t>
            </w:r>
          </w:p>
        </w:tc>
        <w:tc>
          <w:tcPr>
            <w:tcW w:w="1735" w:type="dxa"/>
          </w:tcPr>
          <w:p w14:paraId="661340D8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98-100</w:t>
            </w:r>
          </w:p>
        </w:tc>
      </w:tr>
      <w:tr w:rsidR="00692052" w14:paraId="43A8251A" w14:textId="77777777">
        <w:trPr>
          <w:trHeight w:val="20"/>
        </w:trPr>
        <w:tc>
          <w:tcPr>
            <w:tcW w:w="2539" w:type="dxa"/>
            <w:shd w:val="clear" w:color="auto" w:fill="BDD7EE"/>
          </w:tcPr>
          <w:p w14:paraId="4E3B88F6" w14:textId="77777777" w:rsidR="00692052" w:rsidRDefault="00B25CD2">
            <w:pP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ร้อยละของประชากรที่ใช้บริการสุขาภิบาลพื้นฐาน</w:t>
            </w:r>
            <w:proofErr w:type="spellEnd"/>
          </w:p>
          <w:p w14:paraId="5D02341C" w14:textId="77777777" w:rsidR="00692052" w:rsidRDefault="00B25CD2">
            <w:pPr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>
              <w:rPr>
                <w:rFonts w:ascii="TH Sarabun PSK" w:eastAsia="TH Sarabun PSK" w:hAnsi="TH Sarabun PSK" w:cs="TH Sarabun PSK"/>
                <w:sz w:val="28"/>
                <w:szCs w:val="28"/>
              </w:rPr>
              <w:t>(</w:t>
            </w:r>
            <w:proofErr w:type="spellStart"/>
            <w:r>
              <w:rPr>
                <w:rFonts w:ascii="TH Sarabun PSK" w:eastAsia="TH Sarabun PSK" w:hAnsi="TH Sarabun PSK" w:cs="TH Sarabun PSK"/>
                <w:sz w:val="28"/>
                <w:szCs w:val="28"/>
              </w:rPr>
              <w:t>ขอบเขตการบริการด้าน</w:t>
            </w:r>
            <w:proofErr w:type="spellEnd"/>
          </w:p>
          <w:p w14:paraId="389601D8" w14:textId="77777777" w:rsidR="00692052" w:rsidRDefault="00B25CD2">
            <w:pPr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28"/>
                <w:szCs w:val="28"/>
              </w:rPr>
              <w:t>สุขาภิบาล</w:t>
            </w:r>
            <w:proofErr w:type="spellEnd"/>
            <w:r>
              <w:rPr>
                <w:rFonts w:ascii="TH Sarabun PSK" w:eastAsia="TH Sarabun PSK" w:hAnsi="TH Sarabun PSK" w:cs="TH Sarabun 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28"/>
                <w:szCs w:val="28"/>
              </w:rPr>
              <w:t>ครอบคลุมตั้งแต่การจัดให้มีส้วมและการสูบส้วม</w:t>
            </w:r>
            <w:proofErr w:type="spellEnd"/>
            <w:r>
              <w:rPr>
                <w:rFonts w:ascii="TH Sarabun PSK" w:eastAsia="TH Sarabun PSK" w:hAnsi="TH Sarabun PSK" w:cs="TH Sarabun 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28"/>
                <w:szCs w:val="28"/>
              </w:rPr>
              <w:t>รวมทั้งการขนส่ง</w:t>
            </w:r>
            <w:proofErr w:type="spellEnd"/>
          </w:p>
          <w:p w14:paraId="6DD195FB" w14:textId="77777777" w:rsidR="00692052" w:rsidRDefault="00B25CD2">
            <w:pPr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28"/>
                <w:szCs w:val="28"/>
              </w:rPr>
              <w:t>การบำบัด</w:t>
            </w:r>
            <w:proofErr w:type="spellEnd"/>
            <w:r>
              <w:rPr>
                <w:rFonts w:ascii="TH Sarabun PSK" w:eastAsia="TH Sarabun PSK" w:hAnsi="TH Sarabun PSK" w:cs="TH Sarabun 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28"/>
                <w:szCs w:val="28"/>
              </w:rPr>
              <w:t>จนถึงการกำจัดสิ่งปฏิกูล</w:t>
            </w:r>
            <w:proofErr w:type="spellEnd"/>
            <w:r>
              <w:rPr>
                <w:rFonts w:ascii="TH Sarabun PSK" w:eastAsia="TH Sarabun PSK" w:hAnsi="TH Sarabun PSK" w:cs="TH Sarabun 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28"/>
                <w:szCs w:val="28"/>
              </w:rPr>
              <w:t>หรือการใช้ประโยชน์จากสิ่งปฏิกูล</w:t>
            </w:r>
            <w:proofErr w:type="spellEnd"/>
            <w:r>
              <w:rPr>
                <w:rFonts w:ascii="TH Sarabun PSK" w:eastAsia="TH Sarabun PSK" w:hAnsi="TH Sarabun PSK" w:cs="TH Sarabun PSK"/>
                <w:sz w:val="28"/>
                <w:szCs w:val="28"/>
              </w:rPr>
              <w:t>)</w:t>
            </w:r>
          </w:p>
        </w:tc>
        <w:tc>
          <w:tcPr>
            <w:tcW w:w="1736" w:type="dxa"/>
          </w:tcPr>
          <w:p w14:paraId="1C73A836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น้อยกว่า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60</w:t>
            </w:r>
          </w:p>
        </w:tc>
        <w:tc>
          <w:tcPr>
            <w:tcW w:w="1735" w:type="dxa"/>
          </w:tcPr>
          <w:p w14:paraId="1C08D3FF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60-70</w:t>
            </w:r>
          </w:p>
        </w:tc>
        <w:tc>
          <w:tcPr>
            <w:tcW w:w="1735" w:type="dxa"/>
          </w:tcPr>
          <w:p w14:paraId="19B98FD7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70-80</w:t>
            </w:r>
          </w:p>
        </w:tc>
        <w:tc>
          <w:tcPr>
            <w:tcW w:w="1735" w:type="dxa"/>
          </w:tcPr>
          <w:p w14:paraId="7ECFF967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80–90</w:t>
            </w:r>
          </w:p>
        </w:tc>
        <w:tc>
          <w:tcPr>
            <w:tcW w:w="1735" w:type="dxa"/>
          </w:tcPr>
          <w:p w14:paraId="0B9FDD81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90-95</w:t>
            </w:r>
          </w:p>
        </w:tc>
        <w:tc>
          <w:tcPr>
            <w:tcW w:w="1735" w:type="dxa"/>
          </w:tcPr>
          <w:p w14:paraId="0F0165B9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95-100</w:t>
            </w:r>
          </w:p>
        </w:tc>
      </w:tr>
      <w:tr w:rsidR="00692052" w14:paraId="492D95E0" w14:textId="77777777">
        <w:trPr>
          <w:trHeight w:val="20"/>
        </w:trPr>
        <w:tc>
          <w:tcPr>
            <w:tcW w:w="2539" w:type="dxa"/>
            <w:shd w:val="clear" w:color="auto" w:fill="BDD7EE"/>
          </w:tcPr>
          <w:p w14:paraId="24A42772" w14:textId="77777777" w:rsidR="00692052" w:rsidRDefault="00B25CD2">
            <w:pP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ร้อยละของประชากรที่สามารถเข้าถึงไฟฟ้า</w:t>
            </w:r>
            <w:proofErr w:type="spellEnd"/>
          </w:p>
        </w:tc>
        <w:tc>
          <w:tcPr>
            <w:tcW w:w="1736" w:type="dxa"/>
          </w:tcPr>
          <w:p w14:paraId="488A0174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น้อยกว่า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90</w:t>
            </w:r>
          </w:p>
        </w:tc>
        <w:tc>
          <w:tcPr>
            <w:tcW w:w="1735" w:type="dxa"/>
          </w:tcPr>
          <w:p w14:paraId="71668C17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90–92</w:t>
            </w:r>
          </w:p>
        </w:tc>
        <w:tc>
          <w:tcPr>
            <w:tcW w:w="1735" w:type="dxa"/>
          </w:tcPr>
          <w:p w14:paraId="06193D1A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92-94</w:t>
            </w:r>
          </w:p>
        </w:tc>
        <w:tc>
          <w:tcPr>
            <w:tcW w:w="1735" w:type="dxa"/>
          </w:tcPr>
          <w:p w14:paraId="1149D3E8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94-96</w:t>
            </w:r>
          </w:p>
        </w:tc>
        <w:tc>
          <w:tcPr>
            <w:tcW w:w="1735" w:type="dxa"/>
          </w:tcPr>
          <w:p w14:paraId="58532D5E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96-98</w:t>
            </w:r>
          </w:p>
        </w:tc>
        <w:tc>
          <w:tcPr>
            <w:tcW w:w="1735" w:type="dxa"/>
          </w:tcPr>
          <w:p w14:paraId="0A0050EF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98-100</w:t>
            </w:r>
          </w:p>
        </w:tc>
      </w:tr>
      <w:tr w:rsidR="00692052" w14:paraId="619F00D2" w14:textId="77777777">
        <w:trPr>
          <w:trHeight w:val="20"/>
        </w:trPr>
        <w:tc>
          <w:tcPr>
            <w:tcW w:w="2539" w:type="dxa"/>
            <w:shd w:val="clear" w:color="auto" w:fill="BDD7EE"/>
          </w:tcPr>
          <w:p w14:paraId="74DB7CED" w14:textId="77777777" w:rsidR="00692052" w:rsidRDefault="00B25CD2">
            <w:pP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แนวทางและการออกแบบสิ่งก่อสร้างสาธารณะ</w:t>
            </w:r>
            <w:proofErr w:type="spellEnd"/>
          </w:p>
        </w:tc>
        <w:tc>
          <w:tcPr>
            <w:tcW w:w="1736" w:type="dxa"/>
          </w:tcPr>
          <w:p w14:paraId="23548609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สิ่งก่อสร้างสาธารณะไม่ได้ถูกออกแบบมาเพื่อการใช้</w:t>
            </w: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lastRenderedPageBreak/>
              <w:t>งานของคนทุกกลุ่มและยังไม่มีแผนการพัฒนาในมุมนี้</w:t>
            </w:r>
          </w:p>
        </w:tc>
        <w:tc>
          <w:tcPr>
            <w:tcW w:w="1735" w:type="dxa"/>
          </w:tcPr>
          <w:p w14:paraId="7CA6DD82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lastRenderedPageBreak/>
              <w:t>สิ่งก่อสร้างสาธารณะไม่ได้ถูกออกแบบมาเพื่อการใช้</w:t>
            </w: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lastRenderedPageBreak/>
              <w:t>งานของคนทุกกลุ่มแต่ในปัจจุบันกำลังมองหาทางแก้ไขปัญหา</w:t>
            </w:r>
          </w:p>
        </w:tc>
        <w:tc>
          <w:tcPr>
            <w:tcW w:w="1735" w:type="dxa"/>
          </w:tcPr>
          <w:p w14:paraId="288CC70E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lastRenderedPageBreak/>
              <w:t>สิ่งก่อสร้างสาธารณะบางแห่งได้รับการออกแบบมาเ</w:t>
            </w: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lastRenderedPageBreak/>
              <w:t>พื่อการใช้งานของคน</w:t>
            </w: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ทุกกลุ่มแต่ยังขาดคุณภาพ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ในปัจจุบันมีแผนการพัฒนาให้มีคุณภาพยิ่งขึ้น</w:t>
            </w:r>
            <w:proofErr w:type="spellEnd"/>
          </w:p>
        </w:tc>
        <w:tc>
          <w:tcPr>
            <w:tcW w:w="1735" w:type="dxa"/>
          </w:tcPr>
          <w:p w14:paraId="3BBD1D42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lastRenderedPageBreak/>
              <w:t>สิ่งก่อสร้างสาธารณะทุกแห่งได้รับการออกแบบมาเพื่</w:t>
            </w: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lastRenderedPageBreak/>
              <w:t xml:space="preserve">อการใช้งานของคนทุกกลุ่มแต่ยังขาดคุณภาพ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ในปัจจุบันมีการดำเนินการเพื่อพัฒนาคุณภาพ</w:t>
            </w:r>
            <w:proofErr w:type="spellEnd"/>
          </w:p>
        </w:tc>
        <w:tc>
          <w:tcPr>
            <w:tcW w:w="1735" w:type="dxa"/>
          </w:tcPr>
          <w:p w14:paraId="61183727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lastRenderedPageBreak/>
              <w:t>สิ่งก่อสร้างสาธารณะทุกแห่งได้รับการออกแบบมาเพื่</w:t>
            </w: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lastRenderedPageBreak/>
              <w:t>อการใช้งานของคน</w:t>
            </w: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ทุกกลุ่ม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มีคุณภาพและเหมาะสมสำหรับทุกช่วงวัย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ประชากรทุกคนสามารถเข้าถึงได้แต่ขาดความช่วยเหลือที่จำเป็น</w:t>
            </w:r>
            <w:proofErr w:type="spellEnd"/>
          </w:p>
        </w:tc>
        <w:tc>
          <w:tcPr>
            <w:tcW w:w="1735" w:type="dxa"/>
          </w:tcPr>
          <w:p w14:paraId="7908CCA0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lastRenderedPageBreak/>
              <w:t>ประชากรทุกคนพึงพอใจกับการใช้งานสิ่งก่อสร้างสา</w:t>
            </w: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lastRenderedPageBreak/>
              <w:t>ธารณะทุกแห่งและพร้อมใจจะให้ความช่วยเหลือกันและกันในการใช้งาน</w:t>
            </w:r>
          </w:p>
        </w:tc>
      </w:tr>
      <w:tr w:rsidR="00692052" w14:paraId="2CFD0F47" w14:textId="77777777">
        <w:trPr>
          <w:trHeight w:val="20"/>
        </w:trPr>
        <w:tc>
          <w:tcPr>
            <w:tcW w:w="2539" w:type="dxa"/>
            <w:shd w:val="clear" w:color="auto" w:fill="BDD7EE"/>
          </w:tcPr>
          <w:p w14:paraId="2BEF6B4E" w14:textId="77777777" w:rsidR="00692052" w:rsidRDefault="00B25CD2">
            <w:pP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lastRenderedPageBreak/>
              <w:t>เวลาการเดินทางเพื่อไปยังสถานบริการด้านสุขภาพโดยเ</w:t>
            </w:r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ฉลี่ย</w:t>
            </w:r>
            <w:proofErr w:type="spellEnd"/>
          </w:p>
        </w:tc>
        <w:tc>
          <w:tcPr>
            <w:tcW w:w="1736" w:type="dxa"/>
          </w:tcPr>
          <w:p w14:paraId="1AF46236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มากกว่า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120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นาที</w:t>
            </w:r>
            <w:proofErr w:type="spellEnd"/>
          </w:p>
        </w:tc>
        <w:tc>
          <w:tcPr>
            <w:tcW w:w="1735" w:type="dxa"/>
          </w:tcPr>
          <w:p w14:paraId="2C68610C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60</w:t>
            </w:r>
            <w:r>
              <w:rPr>
                <w:rFonts w:ascii="Arial" w:eastAsia="Arial" w:hAnsi="Arial" w:cs="Arial"/>
                <w:sz w:val="32"/>
                <w:szCs w:val="32"/>
              </w:rPr>
              <w:t> 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ถึง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119.9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นาที</w:t>
            </w:r>
            <w:proofErr w:type="spellEnd"/>
          </w:p>
        </w:tc>
        <w:tc>
          <w:tcPr>
            <w:tcW w:w="1735" w:type="dxa"/>
          </w:tcPr>
          <w:p w14:paraId="3B5FE260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30</w:t>
            </w:r>
            <w:r>
              <w:rPr>
                <w:rFonts w:ascii="Arial" w:eastAsia="Arial" w:hAnsi="Arial" w:cs="Arial"/>
                <w:sz w:val="32"/>
                <w:szCs w:val="32"/>
              </w:rPr>
              <w:t> 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ถึง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59.9</w:t>
            </w:r>
            <w:r>
              <w:rPr>
                <w:rFonts w:ascii="Arial" w:eastAsia="Arial" w:hAnsi="Arial" w:cs="Arial"/>
                <w:sz w:val="32"/>
                <w:szCs w:val="32"/>
              </w:rPr>
              <w:t> 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นาที</w:t>
            </w:r>
            <w:proofErr w:type="spellEnd"/>
          </w:p>
        </w:tc>
        <w:tc>
          <w:tcPr>
            <w:tcW w:w="1735" w:type="dxa"/>
          </w:tcPr>
          <w:p w14:paraId="687C4E9F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20</w:t>
            </w:r>
            <w:r>
              <w:rPr>
                <w:rFonts w:ascii="Arial" w:eastAsia="Arial" w:hAnsi="Arial" w:cs="Arial"/>
                <w:sz w:val="32"/>
                <w:szCs w:val="32"/>
              </w:rPr>
              <w:t> 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ถึง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29.9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นาที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</w:p>
        </w:tc>
        <w:tc>
          <w:tcPr>
            <w:tcW w:w="1735" w:type="dxa"/>
          </w:tcPr>
          <w:p w14:paraId="03E10A20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10</w:t>
            </w:r>
            <w:r>
              <w:rPr>
                <w:rFonts w:ascii="Arial" w:eastAsia="Arial" w:hAnsi="Arial" w:cs="Arial"/>
                <w:sz w:val="32"/>
                <w:szCs w:val="32"/>
              </w:rPr>
              <w:t> 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ถึง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19.9</w:t>
            </w:r>
            <w:r>
              <w:rPr>
                <w:rFonts w:ascii="Arial" w:eastAsia="Arial" w:hAnsi="Arial" w:cs="Arial"/>
                <w:sz w:val="32"/>
                <w:szCs w:val="32"/>
              </w:rPr>
              <w:t> 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นาที</w:t>
            </w:r>
            <w:proofErr w:type="spellEnd"/>
          </w:p>
        </w:tc>
        <w:tc>
          <w:tcPr>
            <w:tcW w:w="1735" w:type="dxa"/>
          </w:tcPr>
          <w:p w14:paraId="6B4E115D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น้อยกว่า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10</w:t>
            </w:r>
            <w:r>
              <w:rPr>
                <w:rFonts w:ascii="Arial" w:eastAsia="Arial" w:hAnsi="Arial" w:cs="Arial"/>
                <w:sz w:val="32"/>
                <w:szCs w:val="32"/>
              </w:rPr>
              <w:t> 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นาที</w:t>
            </w:r>
            <w:proofErr w:type="spellEnd"/>
          </w:p>
        </w:tc>
      </w:tr>
      <w:tr w:rsidR="00692052" w14:paraId="091E78D2" w14:textId="77777777">
        <w:trPr>
          <w:trHeight w:val="20"/>
        </w:trPr>
        <w:tc>
          <w:tcPr>
            <w:tcW w:w="2539" w:type="dxa"/>
            <w:shd w:val="clear" w:color="auto" w:fill="BDD7EE"/>
          </w:tcPr>
          <w:p w14:paraId="033FDF41" w14:textId="77777777" w:rsidR="00692052" w:rsidRDefault="00B25CD2">
            <w:pP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ระดับของระบบประกันสังคมและความครอบคลุมของระบบประกันสุขภาพ</w:t>
            </w:r>
            <w:proofErr w:type="spellEnd"/>
          </w:p>
        </w:tc>
        <w:tc>
          <w:tcPr>
            <w:tcW w:w="1736" w:type="dxa"/>
          </w:tcPr>
          <w:p w14:paraId="44646687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ไม่มีทั้งระบบประกันสังคมและประกันสุขภาพให้แก่ประชากร</w:t>
            </w:r>
            <w:proofErr w:type="spellEnd"/>
          </w:p>
        </w:tc>
        <w:tc>
          <w:tcPr>
            <w:tcW w:w="1735" w:type="dxa"/>
          </w:tcPr>
          <w:p w14:paraId="5ABE1F70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มีประกันสังคมและประกันสุขภาพครอบคลุมอย่างน้อยหนึ่งในความคุ้มครองหลัก (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วัยเกษียณ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ความพิการ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lastRenderedPageBreak/>
              <w:t>หรือผลประโยชน์ที่ได้รับจากการจากไปของคนในครอบครัว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)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แม้ว่าความครอบคลุมจะขึ้นอยู่กับระยะเวลาการทำงานและฐานเงินเดือน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br/>
            </w:r>
          </w:p>
        </w:tc>
        <w:tc>
          <w:tcPr>
            <w:tcW w:w="1735" w:type="dxa"/>
          </w:tcPr>
          <w:p w14:paraId="4AC8E6BA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lastRenderedPageBreak/>
              <w:t>มีประกันสังคมและประกันสุขภาพครอบคลุมสองในสามความคุ้มครองหลักหลัก (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วัยเกษียณ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ความพิการ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lastRenderedPageBreak/>
              <w:t>หรือผลประโยชน์ที่ได้รับจากการจากไปของคนในครอบครัว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)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แม้ว่าความครอบคลุมจะขึ้นอยู่กับระยะเวลาการทำงานและฐานเงินเดือน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br/>
            </w:r>
          </w:p>
        </w:tc>
        <w:tc>
          <w:tcPr>
            <w:tcW w:w="1735" w:type="dxa"/>
          </w:tcPr>
          <w:p w14:paraId="18483BA6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lastRenderedPageBreak/>
              <w:t>ประกันสังคมและประกันสุขภาพครอบคลุมทั้งสามความคุ้มคร</w:t>
            </w: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องหลักหลัก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วัยเกษียณ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ความพิการ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หรือผลประโยชน์</w:t>
            </w: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lastRenderedPageBreak/>
              <w:t>ที่ได้รับจากการจากไปของคนในครอบครัว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)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แม้ว่าความครอบคลุมจะขึ้นอยู่กับระยะเวลาการทำงานและฐานเงินเดือน</w:t>
            </w:r>
            <w:proofErr w:type="spellEnd"/>
          </w:p>
        </w:tc>
        <w:tc>
          <w:tcPr>
            <w:tcW w:w="1735" w:type="dxa"/>
          </w:tcPr>
          <w:p w14:paraId="26250D1F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lastRenderedPageBreak/>
              <w:t>ประกันสังคมและประกันสุขภาพครอบคลุมทั้งสามความคุ้มครองหลักหลัก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วัยเกษียณ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ความพิการ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หรือผลประโยชน์</w:t>
            </w: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lastRenderedPageBreak/>
              <w:t>ที่ได้รับจากก</w:t>
            </w: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ารจากไปของคนในครอบครัว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)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โดยความครอบคลุมไม่ขึ้นอยู่กับระยะ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เวลาการทำงานหรือฐานเงินเดือน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รัฐบาลเป็นผู้รับผิดชอบค่าใช้จ่ายส่วนเกินให้</w:t>
            </w:r>
            <w:proofErr w:type="spellEnd"/>
          </w:p>
        </w:tc>
        <w:tc>
          <w:tcPr>
            <w:tcW w:w="1735" w:type="dxa"/>
          </w:tcPr>
          <w:p w14:paraId="7675327A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lastRenderedPageBreak/>
              <w:t>ประกันสังคมและประกันสุขภาพครอบคลุมทุกความคุ้มครอง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และเท่าเทียมกันสำหรับประชากรทุกคน</w:t>
            </w:r>
            <w:proofErr w:type="spellEnd"/>
          </w:p>
        </w:tc>
      </w:tr>
      <w:tr w:rsidR="00692052" w14:paraId="465814DB" w14:textId="77777777">
        <w:trPr>
          <w:trHeight w:val="20"/>
        </w:trPr>
        <w:tc>
          <w:tcPr>
            <w:tcW w:w="2539" w:type="dxa"/>
            <w:shd w:val="clear" w:color="auto" w:fill="BDD7EE"/>
          </w:tcPr>
          <w:p w14:paraId="710DC58F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color w:val="000000"/>
                <w:sz w:val="32"/>
                <w:szCs w:val="32"/>
              </w:rPr>
              <w:t>อัตราการ</w:t>
            </w: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เข้าถึงข้อมูลสุขภาพ</w:t>
            </w:r>
            <w:proofErr w:type="spellEnd"/>
          </w:p>
        </w:tc>
        <w:tc>
          <w:tcPr>
            <w:tcW w:w="1736" w:type="dxa"/>
          </w:tcPr>
          <w:p w14:paraId="386104C6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ไม่มีการให้ข้อมูลสุขภาพแก่ประชาชนในทุกกรณี</w:t>
            </w:r>
            <w:proofErr w:type="spellEnd"/>
          </w:p>
        </w:tc>
        <w:tc>
          <w:tcPr>
            <w:tcW w:w="1735" w:type="dxa"/>
          </w:tcPr>
          <w:p w14:paraId="7D00E349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ให้ข้อมูลสุขภาพแก่ประชาชนในช่วงเวลาวิกฤติเท่านั้น</w:t>
            </w:r>
            <w:proofErr w:type="spellEnd"/>
          </w:p>
        </w:tc>
        <w:tc>
          <w:tcPr>
            <w:tcW w:w="1735" w:type="dxa"/>
          </w:tcPr>
          <w:p w14:paraId="261C730A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ให้ข้อมูลสุขภาพทั่วไปแก่ประชาชน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ในรูปแบบเดียวเท่านั้น</w:t>
            </w:r>
            <w:proofErr w:type="spellEnd"/>
          </w:p>
        </w:tc>
        <w:tc>
          <w:tcPr>
            <w:tcW w:w="1735" w:type="dxa"/>
          </w:tcPr>
          <w:p w14:paraId="2C760281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ให้ข้อมูลสุขภาพแก่ประชาชนในหลากหลายรูปแบบ</w:t>
            </w:r>
            <w:proofErr w:type="spellEnd"/>
          </w:p>
        </w:tc>
        <w:tc>
          <w:tcPr>
            <w:tcW w:w="1735" w:type="dxa"/>
          </w:tcPr>
          <w:p w14:paraId="464AC75C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ให้ข้อมูลสุขภาพที่อัพเดทและเป็นประโยชน์แก่ประชาชนในรูปแบบเดียวเท่านั้น</w:t>
            </w:r>
          </w:p>
        </w:tc>
        <w:tc>
          <w:tcPr>
            <w:tcW w:w="1735" w:type="dxa"/>
          </w:tcPr>
          <w:p w14:paraId="3DCEEC9D" w14:textId="77777777" w:rsidR="00692052" w:rsidRDefault="00B25CD2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ให้ข้อมูลสุขภาพที่อัพเดทและเป็นประโยชน์แก่ประชาชนในหลากหลายรูปแบบ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และหลากหลายช่วงเวลา</w:t>
            </w:r>
            <w:proofErr w:type="spellEnd"/>
          </w:p>
        </w:tc>
      </w:tr>
    </w:tbl>
    <w:p w14:paraId="3C24FCE3" w14:textId="77777777" w:rsidR="00692052" w:rsidRDefault="00692052">
      <w:pPr>
        <w:rPr>
          <w:rFonts w:ascii="TH Sarabun PSK" w:eastAsia="TH Sarabun PSK" w:hAnsi="TH Sarabun PSK" w:cs="TH Sarabun PSK"/>
          <w:sz w:val="32"/>
          <w:szCs w:val="32"/>
        </w:rPr>
      </w:pPr>
    </w:p>
    <w:p w14:paraId="72065672" w14:textId="77777777" w:rsidR="00692052" w:rsidRDefault="00B25CD2">
      <w:pPr>
        <w:rPr>
          <w:rFonts w:ascii="TH Sarabun PSK" w:eastAsia="TH Sarabun PSK" w:hAnsi="TH Sarabun PSK" w:cs="TH Sarabun PSK"/>
          <w:sz w:val="32"/>
          <w:szCs w:val="32"/>
        </w:rPr>
      </w:pPr>
      <w:proofErr w:type="spellStart"/>
      <w:r>
        <w:rPr>
          <w:rFonts w:ascii="TH Sarabun PSK" w:eastAsia="TH Sarabun PSK" w:hAnsi="TH Sarabun PSK" w:cs="TH Sarabun PSK"/>
          <w:sz w:val="32"/>
          <w:szCs w:val="32"/>
        </w:rPr>
        <w:t>คุณมีข้อมูลหรือสถิติมาสนับสนุนการประเมินข้างต้นหรือไม่</w:t>
      </w:r>
      <w:proofErr w:type="spellEnd"/>
    </w:p>
    <w:p w14:paraId="782F4647" w14:textId="77777777" w:rsidR="00692052" w:rsidRDefault="00B25CD2">
      <w:pPr>
        <w:rPr>
          <w:rFonts w:ascii="TH Sarabun PSK" w:eastAsia="TH Sarabun PSK" w:hAnsi="TH Sarabun PSK" w:cs="TH Sarabun PSK"/>
          <w:sz w:val="32"/>
          <w:szCs w:val="32"/>
        </w:rPr>
      </w:pPr>
      <w:sdt>
        <w:sdtPr>
          <w:tag w:val="goog_rdk_0"/>
          <w:id w:val="953834153"/>
        </w:sdtPr>
        <w:sdtEndPr/>
        <w:sdtContent>
          <w:r>
            <w:rPr>
              <w:rFonts w:ascii="Arial Unicode MS" w:eastAsia="Arial Unicode MS" w:hAnsi="Arial Unicode MS" w:cs="Arial Unicode MS"/>
              <w:sz w:val="32"/>
              <w:szCs w:val="32"/>
            </w:rPr>
            <w:t>☐</w:t>
          </w:r>
        </w:sdtContent>
      </w:sdt>
      <w:r>
        <w:rPr>
          <w:rFonts w:ascii="TH Sarabun PSK" w:eastAsia="TH Sarabun PSK" w:hAnsi="TH Sarabun PSK" w:cs="TH Sarabun PSK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sz w:val="32"/>
          <w:szCs w:val="32"/>
        </w:rPr>
        <w:t>มี</w:t>
      </w:r>
      <w:proofErr w:type="spellEnd"/>
      <w:r>
        <w:rPr>
          <w:rFonts w:ascii="TH Sarabun PSK" w:eastAsia="TH Sarabun PSK" w:hAnsi="TH Sarabun PSK" w:cs="TH Sarabun PSK"/>
          <w:sz w:val="32"/>
          <w:szCs w:val="32"/>
        </w:rPr>
        <w:tab/>
      </w:r>
      <w:r>
        <w:rPr>
          <w:rFonts w:ascii="TH Sarabun PSK" w:eastAsia="TH Sarabun PSK" w:hAnsi="TH Sarabun PSK" w:cs="TH Sarabun PSK"/>
          <w:sz w:val="32"/>
          <w:szCs w:val="32"/>
        </w:rPr>
        <w:tab/>
      </w:r>
      <w:sdt>
        <w:sdtPr>
          <w:tag w:val="goog_rdk_1"/>
          <w:id w:val="1387684165"/>
        </w:sdtPr>
        <w:sdtEndPr/>
        <w:sdtContent>
          <w:r>
            <w:rPr>
              <w:rFonts w:ascii="Arial Unicode MS" w:eastAsia="Arial Unicode MS" w:hAnsi="Arial Unicode MS" w:cs="Arial Unicode MS"/>
              <w:sz w:val="32"/>
              <w:szCs w:val="32"/>
            </w:rPr>
            <w:t>☐</w:t>
          </w:r>
        </w:sdtContent>
      </w:sdt>
      <w:r>
        <w:rPr>
          <w:rFonts w:ascii="TH Sarabun PSK" w:eastAsia="TH Sarabun PSK" w:hAnsi="TH Sarabun PSK" w:cs="TH Sarabun PSK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sz w:val="32"/>
          <w:szCs w:val="32"/>
        </w:rPr>
        <w:t>ไม่มี</w:t>
      </w:r>
      <w:proofErr w:type="spellEnd"/>
    </w:p>
    <w:sectPr w:rsidR="00692052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TH Sarabun PSK">
    <w:altName w:val="Cordia New"/>
    <w:charset w:val="00"/>
    <w:family w:val="auto"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52"/>
    <w:rsid w:val="00692052"/>
    <w:rsid w:val="00B2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1955"/>
  <w15:docId w15:val="{3A5E1259-4D1D-4A94-B01B-3FCDC7D3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42F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701F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D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3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s1">
    <w:name w:val="s1"/>
    <w:basedOn w:val="DefaultParagraphFont"/>
    <w:rsid w:val="007F11A6"/>
    <w:rPr>
      <w:rFonts w:ascii=".AppleSystemUIFont" w:hAnsi=".AppleSystemUIFont" w:hint="default"/>
      <w:sz w:val="20"/>
      <w:szCs w:val="20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cMaTzRfiiL0owr0oUELbRVc12g==">CgMxLjAaMAoBMBIrCikIB0IlChFRdWF0dHJvY2VudG8gU2FucxIQQXJpYWwgVW5pY29kZSBNUxowCgExEisKKQgHQiUKEVF1YXR0cm9jZW50byBTYW5zEhBBcmlhbCBVbmljb2RlIE1TOAByITFfdllzUDlmVFFDV2NMQlVRZDN5aFo5NmtweXRoN25OYg==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Siyada Darikarnonta</dc:creator>
  <cp:lastModifiedBy>Kwanta Norkum</cp:lastModifiedBy>
  <cp:revision>2</cp:revision>
  <dcterms:created xsi:type="dcterms:W3CDTF">2025-05-08T04:53:00Z</dcterms:created>
  <dcterms:modified xsi:type="dcterms:W3CDTF">2025-05-08T04:53:00Z</dcterms:modified>
</cp:coreProperties>
</file>